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bl>
      <w:tblPr>
        <w:tblStyle w:val="Table1"/>
        <w:tblW w:w="9667.0" w:type="dxa"/>
        <w:jc w:val="left"/>
        <w:tblInd w:w="261.0" w:type="dxa"/>
        <w:tblBorders>
          <w:top w:color="006ec0" w:space="0" w:sz="4" w:val="single"/>
          <w:left w:color="006ec0" w:space="0" w:sz="4" w:val="single"/>
          <w:bottom w:color="006ec0" w:space="0" w:sz="4" w:val="single"/>
          <w:right w:color="006ec0" w:space="0" w:sz="4" w:val="single"/>
          <w:insideH w:color="006ec0" w:space="0" w:sz="4" w:val="single"/>
          <w:insideV w:color="006ec0" w:space="0" w:sz="4" w:val="single"/>
        </w:tblBorders>
        <w:tblLayout w:type="fixed"/>
        <w:tblLook w:val="0000"/>
      </w:tblPr>
      <w:tblGrid>
        <w:gridCol w:w="3005"/>
        <w:gridCol w:w="6662"/>
        <w:tblGridChange w:id="0">
          <w:tblGrid>
            <w:gridCol w:w="3005"/>
            <w:gridCol w:w="6662"/>
          </w:tblGrid>
        </w:tblGridChange>
      </w:tblGrid>
      <w:tr>
        <w:trPr>
          <w:cantSplit w:val="0"/>
          <w:trHeight w:val="513" w:hRule="atLeast"/>
          <w:tblHeader w:val="0"/>
        </w:trPr>
        <w:tc>
          <w:tcPr>
            <w:vMerge w:val="restart"/>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81"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inline distB="0" distT="0" distL="0" distR="0">
                  <wp:extent cx="1619704" cy="889080"/>
                  <wp:effectExtent b="0" l="0" r="0" t="0"/>
                  <wp:docPr descr="Yeni Yüzyıl Üniversitesi Yabancı Öğrenci 2025" id="1" name="image1.png"/>
                  <a:graphic>
                    <a:graphicData uri="http://schemas.openxmlformats.org/drawingml/2006/picture">
                      <pic:pic>
                        <pic:nvPicPr>
                          <pic:cNvPr descr="Yeni Yüzyıl Üniversitesi Yabancı Öğrenci 2025" id="0" name="image1.png"/>
                          <pic:cNvPicPr preferRelativeResize="0"/>
                        </pic:nvPicPr>
                        <pic:blipFill>
                          <a:blip r:embed="rId7"/>
                          <a:srcRect b="0" l="0" r="0" t="0"/>
                          <a:stretch>
                            <a:fillRect/>
                          </a:stretch>
                        </pic:blipFill>
                        <pic:spPr>
                          <a:xfrm>
                            <a:off x="0" y="0"/>
                            <a:ext cx="1619704" cy="889080"/>
                          </a:xfrm>
                          <a:prstGeom prst="rect"/>
                          <a:ln/>
                        </pic:spPr>
                      </pic:pic>
                    </a:graphicData>
                  </a:graphic>
                </wp:inline>
              </w:drawing>
            </w:r>
            <w:r w:rsidDel="00000000" w:rsidR="00000000" w:rsidRPr="00000000">
              <w:rPr>
                <w:rtl w:val="0"/>
              </w:rPr>
            </w:r>
          </w:p>
        </w:tc>
        <w:tc>
          <w:tcPr>
            <w:tcBorders>
              <w:bottom w:color="000000" w:space="0" w:sz="0" w:val="nil"/>
            </w:tcBorders>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90" w:hRule="atLeast"/>
          <w:tblHeader w:val="0"/>
        </w:trPr>
        <w:tc>
          <w:tcPr>
            <w:vMerge w:val="continue"/>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26" w:right="117"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İKTİSADİ VE İDARİ BİLİMLER</w:t>
            </w:r>
          </w:p>
        </w:tc>
      </w:tr>
      <w:tr>
        <w:trPr>
          <w:cantSplit w:val="0"/>
          <w:trHeight w:val="208" w:hRule="atLeast"/>
          <w:tblHeader w:val="0"/>
        </w:trPr>
        <w:tc>
          <w:tcPr>
            <w:vMerge w:val="continue"/>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9" w:lineRule="auto"/>
              <w:ind w:left="123" w:right="117"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FAKÜLTESİ</w:t>
            </w:r>
          </w:p>
        </w:tc>
      </w:tr>
      <w:tr>
        <w:trPr>
          <w:cantSplit w:val="0"/>
          <w:trHeight w:val="505" w:hRule="atLeast"/>
          <w:tblHeader w:val="0"/>
        </w:trPr>
        <w:tc>
          <w:tcPr>
            <w:vMerge w:val="continue"/>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2" w:lineRule="auto"/>
              <w:ind w:left="10" w:right="127"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SİYASET BİLİMİ VE ULUSLARARASI İLİŞKİLER BÖLÜMÜ</w:t>
            </w:r>
          </w:p>
        </w:tc>
      </w:tr>
      <w:tr>
        <w:trPr>
          <w:cantSplit w:val="0"/>
          <w:trHeight w:val="681" w:hRule="atLeast"/>
          <w:tblHeader w:val="0"/>
        </w:trPr>
        <w:tc>
          <w:tcPr>
            <w:vMerge w:val="continue"/>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 w:right="117"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AKREDİTASYON VE KALİTE KOMİSYONU</w:t>
            </w:r>
          </w:p>
        </w:tc>
      </w:tr>
      <w:tr>
        <w:trPr>
          <w:cantSplit w:val="0"/>
          <w:trHeight w:val="604" w:hRule="atLeast"/>
          <w:tblHeader w:val="0"/>
        </w:trPr>
        <w:tc>
          <w:tcPr>
            <w:vMerge w:val="continue"/>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 w:line="240" w:lineRule="auto"/>
              <w:ind w:left="127" w:right="117"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 TANIMI FORMU</w:t>
            </w:r>
          </w:p>
        </w:tc>
      </w:tr>
    </w:tbl>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2"/>
        <w:tblW w:w="10063.0" w:type="dxa"/>
        <w:jc w:val="left"/>
        <w:tblInd w:w="1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9"/>
        <w:gridCol w:w="9785"/>
        <w:gridCol w:w="139"/>
        <w:tblGridChange w:id="0">
          <w:tblGrid>
            <w:gridCol w:w="139"/>
            <w:gridCol w:w="9785"/>
            <w:gridCol w:w="139"/>
          </w:tblGrid>
        </w:tblGridChange>
      </w:tblGrid>
      <w:tr>
        <w:trPr>
          <w:cantSplit w:val="0"/>
          <w:trHeight w:val="268" w:hRule="atLeast"/>
          <w:tblHeader w:val="0"/>
        </w:trPr>
        <w:tc>
          <w:tcPr>
            <w:vMerge w:val="restart"/>
            <w:tcBorders>
              <w:top w:color="000000" w:space="0" w:sz="0" w:val="nil"/>
              <w:left w:color="000000" w:space="0" w:sz="0" w:val="nil"/>
              <w:bottom w:color="000000" w:space="0" w:sz="0" w:val="nil"/>
            </w:tcBorders>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vMerge w:val="restart"/>
            <w:tcBorders>
              <w:top w:color="000000" w:space="0" w:sz="0" w:val="nil"/>
              <w:bottom w:color="000000" w:space="0" w:sz="0" w:val="nil"/>
              <w:right w:color="000000" w:space="0" w:sz="0" w:val="nil"/>
            </w:tcBorders>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1351" w:hRule="atLeast"/>
          <w:tblHeader w:val="0"/>
        </w:trPr>
        <w:tc>
          <w:tcPr>
            <w:vMerge w:val="continue"/>
            <w:tcBorders>
              <w:top w:color="000000" w:space="0" w:sz="0" w:val="nil"/>
              <w:left w:color="000000" w:space="0" w:sz="0" w:val="nil"/>
              <w:bottom w:color="000000" w:space="0" w:sz="0" w:val="nil"/>
            </w:tcBorders>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Akreditasyon ve kalite komisyonu, bölümdeki eğitim-öğretim faaliyetlerinin kalitesini artırmak, akademik ve idari süreçlerin iyileştirilmesine yönelik stratejiler geliştirmek, kalite standartlarına uyumu sağlamak ve kalite güvence sisteminin etkin bir şekilde uygulanmasını denetlemekle sorumludur. Bu doğrultuda, yılda en az bir kez toplanarak ortaya konulabilecek stratejileri değerlendirir ve önerilerini bölüm kuruluna</w:t>
            </w:r>
            <w:r w:rsidDel="00000000" w:rsidR="00000000" w:rsidRPr="00000000">
              <w:rPr>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raporlar.</w:t>
            </w:r>
          </w:p>
        </w:tc>
        <w:tc>
          <w:tcPr>
            <w:vMerge w:val="continue"/>
            <w:tcBorders>
              <w:top w:color="000000" w:space="0" w:sz="0" w:val="nil"/>
              <w:bottom w:color="000000" w:space="0" w:sz="0" w:val="nil"/>
              <w:right w:color="000000" w:space="0" w:sz="0" w:val="nil"/>
            </w:tcBorders>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63" w:hRule="atLeast"/>
          <w:tblHeader w:val="0"/>
        </w:trPr>
        <w:tc>
          <w:tcPr>
            <w:vMerge w:val="continue"/>
            <w:tcBorders>
              <w:top w:color="000000" w:space="0" w:sz="0" w:val="nil"/>
              <w:left w:color="000000" w:space="0" w:sz="0" w:val="nil"/>
              <w:bottom w:color="000000" w:space="0" w:sz="0" w:val="nil"/>
            </w:tcBorders>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Üstü</w:t>
            </w:r>
          </w:p>
        </w:tc>
        <w:tc>
          <w:tcPr>
            <w:vMerge w:val="continue"/>
            <w:tcBorders>
              <w:top w:color="000000" w:space="0" w:sz="0" w:val="nil"/>
              <w:bottom w:color="000000" w:space="0" w:sz="0" w:val="nil"/>
              <w:right w:color="000000" w:space="0" w:sz="0" w:val="nil"/>
            </w:tcBorders>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68" w:hRule="atLeast"/>
          <w:tblHeader w:val="0"/>
        </w:trPr>
        <w:tc>
          <w:tcPr>
            <w:vMerge w:val="continue"/>
            <w:tcBorders>
              <w:top w:color="000000" w:space="0" w:sz="0" w:val="nil"/>
              <w:left w:color="000000" w:space="0" w:sz="0" w:val="nil"/>
              <w:bottom w:color="000000" w:space="0" w:sz="0" w:val="nil"/>
            </w:tcBorders>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Bölüm Başkanı</w:t>
            </w:r>
          </w:p>
        </w:tc>
        <w:tc>
          <w:tcPr>
            <w:vMerge w:val="continue"/>
            <w:tcBorders>
              <w:top w:color="000000" w:space="0" w:sz="0" w:val="nil"/>
              <w:bottom w:color="000000" w:space="0" w:sz="0" w:val="nil"/>
              <w:right w:color="000000" w:space="0" w:sz="0" w:val="nil"/>
            </w:tcBorders>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66" w:hRule="atLeast"/>
          <w:tblHeader w:val="0"/>
        </w:trPr>
        <w:tc>
          <w:tcPr>
            <w:vMerge w:val="continue"/>
            <w:tcBorders>
              <w:top w:color="000000" w:space="0" w:sz="0" w:val="nil"/>
              <w:left w:color="000000" w:space="0" w:sz="0" w:val="nil"/>
              <w:bottom w:color="000000" w:space="0" w:sz="0" w:val="nil"/>
            </w:tcBorders>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Vekili</w:t>
            </w:r>
          </w:p>
        </w:tc>
        <w:tc>
          <w:tcPr>
            <w:vMerge w:val="continue"/>
            <w:tcBorders>
              <w:top w:color="000000" w:space="0" w:sz="0" w:val="nil"/>
              <w:bottom w:color="000000" w:space="0" w:sz="0" w:val="nil"/>
              <w:right w:color="000000" w:space="0" w:sz="0" w:val="nil"/>
            </w:tcBorders>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70" w:hRule="atLeast"/>
          <w:tblHeader w:val="0"/>
        </w:trPr>
        <w:tc>
          <w:tcPr>
            <w:vMerge w:val="continue"/>
            <w:tcBorders>
              <w:top w:color="000000" w:space="0" w:sz="0" w:val="nil"/>
              <w:left w:color="000000" w:space="0" w:sz="0" w:val="nil"/>
              <w:bottom w:color="000000" w:space="0" w:sz="0" w:val="nil"/>
            </w:tcBorders>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Bölüm Başkan Yardımcısı, Bölüm Öğretim Üyeleri</w:t>
            </w:r>
          </w:p>
        </w:tc>
        <w:tc>
          <w:tcPr>
            <w:vMerge w:val="continue"/>
            <w:tcBorders>
              <w:top w:color="000000" w:space="0" w:sz="0" w:val="nil"/>
              <w:bottom w:color="000000" w:space="0" w:sz="0" w:val="nil"/>
              <w:right w:color="000000" w:space="0" w:sz="0" w:val="nil"/>
            </w:tcBorders>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66" w:hRule="atLeast"/>
          <w:tblHeader w:val="0"/>
        </w:trPr>
        <w:tc>
          <w:tcPr>
            <w:vMerge w:val="continue"/>
            <w:tcBorders>
              <w:top w:color="000000" w:space="0" w:sz="0" w:val="nil"/>
              <w:left w:color="000000" w:space="0" w:sz="0" w:val="nil"/>
              <w:bottom w:color="000000" w:space="0" w:sz="0" w:val="nil"/>
            </w:tcBorders>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Nitelikler</w:t>
            </w:r>
          </w:p>
        </w:tc>
        <w:tc>
          <w:tcPr>
            <w:vMerge w:val="continue"/>
            <w:tcBorders>
              <w:top w:color="000000" w:space="0" w:sz="0" w:val="nil"/>
              <w:bottom w:color="000000" w:space="0" w:sz="0" w:val="nil"/>
              <w:right w:color="000000" w:space="0" w:sz="0" w:val="nil"/>
            </w:tcBorders>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61" w:hRule="atLeast"/>
          <w:tblHeader w:val="0"/>
        </w:trPr>
        <w:tc>
          <w:tcPr>
            <w:vMerge w:val="continue"/>
            <w:tcBorders>
              <w:top w:color="000000" w:space="0" w:sz="0" w:val="nil"/>
              <w:left w:color="000000" w:space="0" w:sz="0" w:val="nil"/>
              <w:bottom w:color="000000" w:space="0" w:sz="0" w:val="nil"/>
            </w:tcBorders>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835"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Görevin gerektirdiği ilgili yönetmelik/yönergeleri bilmek,</w:t>
            </w:r>
          </w:p>
          <w:p w:rsidR="00000000" w:rsidDel="00000000" w:rsidP="00000000" w:rsidRDefault="00000000" w:rsidRPr="00000000" w14:paraId="0000002A">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835"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Gerekli bilgisayar programlarının kullanımını bilmek.</w:t>
            </w:r>
          </w:p>
        </w:tc>
        <w:tc>
          <w:tcPr>
            <w:vMerge w:val="continue"/>
            <w:tcBorders>
              <w:top w:color="000000" w:space="0" w:sz="0" w:val="nil"/>
              <w:bottom w:color="000000" w:space="0" w:sz="0" w:val="nil"/>
              <w:right w:color="000000" w:space="0" w:sz="0" w:val="nil"/>
            </w:tcBorders>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68" w:hRule="atLeast"/>
          <w:tblHeader w:val="0"/>
        </w:trPr>
        <w:tc>
          <w:tcPr>
            <w:vMerge w:val="continue"/>
            <w:tcBorders>
              <w:top w:color="000000" w:space="0" w:sz="0" w:val="nil"/>
              <w:left w:color="000000" w:space="0" w:sz="0" w:val="nil"/>
              <w:bottom w:color="000000" w:space="0" w:sz="0" w:val="nil"/>
            </w:tcBorders>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İlgili Mevzuat</w:t>
            </w:r>
          </w:p>
        </w:tc>
        <w:tc>
          <w:tcPr>
            <w:vMerge w:val="continue"/>
            <w:tcBorders>
              <w:top w:color="000000" w:space="0" w:sz="0" w:val="nil"/>
              <w:bottom w:color="000000" w:space="0" w:sz="0" w:val="nil"/>
              <w:right w:color="000000" w:space="0" w:sz="0" w:val="nil"/>
            </w:tcBorders>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61" w:hRule="atLeast"/>
          <w:tblHeader w:val="0"/>
        </w:trPr>
        <w:tc>
          <w:tcPr>
            <w:vMerge w:val="continue"/>
            <w:tcBorders>
              <w:top w:color="000000" w:space="0" w:sz="0" w:val="nil"/>
              <w:left w:color="000000" w:space="0" w:sz="0" w:val="nil"/>
              <w:bottom w:color="000000" w:space="0" w:sz="0" w:val="nil"/>
            </w:tcBorders>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3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835"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Yükseköğretim Kalite Güvencesi ve Yükseköğretim Kalite Kurulu Yönetmeliği</w:t>
            </w:r>
          </w:p>
          <w:p w:rsidR="00000000" w:rsidDel="00000000" w:rsidP="00000000" w:rsidRDefault="00000000" w:rsidRPr="00000000" w14:paraId="0000003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835"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İstanbul Yeni Yüzyıl Üniversitesi Kalite Güvencesi Sistemi Yönergesi</w:t>
            </w:r>
          </w:p>
        </w:tc>
        <w:tc>
          <w:tcPr>
            <w:vMerge w:val="continue"/>
            <w:tcBorders>
              <w:top w:color="000000" w:space="0" w:sz="0" w:val="nil"/>
              <w:bottom w:color="000000" w:space="0" w:sz="0" w:val="nil"/>
              <w:right w:color="000000" w:space="0" w:sz="0" w:val="nil"/>
            </w:tcBorders>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68" w:hRule="atLeast"/>
          <w:tblHeader w:val="0"/>
        </w:trPr>
        <w:tc>
          <w:tcPr>
            <w:vMerge w:val="continue"/>
            <w:tcBorders>
              <w:top w:color="000000" w:space="0" w:sz="0" w:val="nil"/>
              <w:left w:color="000000" w:space="0" w:sz="0" w:val="nil"/>
              <w:bottom w:color="000000" w:space="0" w:sz="0" w:val="nil"/>
            </w:tcBorders>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 ve Sorumluluklar</w:t>
            </w:r>
          </w:p>
        </w:tc>
        <w:tc>
          <w:tcPr>
            <w:vMerge w:val="continue"/>
            <w:tcBorders>
              <w:top w:color="000000" w:space="0" w:sz="0" w:val="nil"/>
              <w:bottom w:color="000000" w:space="0" w:sz="0" w:val="nil"/>
              <w:right w:color="000000" w:space="0" w:sz="0" w:val="nil"/>
            </w:tcBorders>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249" w:hRule="atLeast"/>
          <w:tblHeader w:val="0"/>
        </w:trPr>
        <w:tc>
          <w:tcPr>
            <w:vMerge w:val="continue"/>
            <w:tcBorders>
              <w:top w:color="000000" w:space="0" w:sz="0" w:val="nil"/>
              <w:left w:color="000000" w:space="0" w:sz="0" w:val="nil"/>
              <w:bottom w:color="000000" w:space="0" w:sz="0" w:val="nil"/>
            </w:tcBorders>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3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835"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Bölümde uygulanan eğitim programlarının, ders içeriklerinin ve öğretim yöntemlerinin kalitesini düzenli olarak değerlendirmek, eğitim süreçlerini sürekli iyileştirmek için önerilerde bulunmak.</w:t>
            </w:r>
          </w:p>
          <w:p w:rsidR="00000000" w:rsidDel="00000000" w:rsidP="00000000" w:rsidRDefault="00000000" w:rsidRPr="00000000" w14:paraId="0000003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835"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Öğrenci başarıları ve akademik performansı üzerinde analizler yapmak, sınav, ödev ve projelerin değerlendirilme süreçlerini şeffaf, adil ve objektif şekilde izlemek.</w:t>
            </w:r>
          </w:p>
          <w:p w:rsidR="00000000" w:rsidDel="00000000" w:rsidP="00000000" w:rsidRDefault="00000000" w:rsidRPr="00000000" w14:paraId="0000003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835"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Bölümün iç kalite değerlendirmelerini yapmak ve dış değerlendirme süreçlerine (akreditasyon, denetim vb.) katılım sağlamak, bölümü ulusal ve uluslararası standartlara göre uyumlu hale getirmek.</w:t>
            </w:r>
          </w:p>
          <w:p w:rsidR="00000000" w:rsidDel="00000000" w:rsidP="00000000" w:rsidRDefault="00000000" w:rsidRPr="00000000" w14:paraId="0000003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835"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Eğitimde kaliteyi artırmaya yönelik stratejiler belirlemek, öğrenci geri bildirimlerini analiz ederek eğitim ve öğretim süreçlerini sürekli geliştirmek.</w:t>
            </w:r>
          </w:p>
          <w:p w:rsidR="00000000" w:rsidDel="00000000" w:rsidP="00000000" w:rsidRDefault="00000000" w:rsidRPr="00000000" w14:paraId="0000003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835"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Bölüm içindeki paydaşlar (öğrenciler, akademik kadro, idari personel) ve dış paydaşlarla (akreditasyon kuruluşları, sektörel temsilciler) iş birliği yaparak kalite gelişim raporları hazırlamak ve</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bu raporları yönetimle paylaşmak.</w:t>
            </w:r>
          </w:p>
        </w:tc>
        <w:tc>
          <w:tcPr>
            <w:vMerge w:val="continue"/>
            <w:tcBorders>
              <w:top w:color="000000" w:space="0" w:sz="0" w:val="nil"/>
              <w:bottom w:color="000000" w:space="0" w:sz="0" w:val="nil"/>
              <w:right w:color="000000" w:space="0" w:sz="0" w:val="nil"/>
            </w:tcBorders>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68" w:hRule="atLeast"/>
          <w:tblHeader w:val="0"/>
        </w:trPr>
        <w:tc>
          <w:tcPr>
            <w:vMerge w:val="continue"/>
            <w:tcBorders>
              <w:top w:color="000000" w:space="0" w:sz="0" w:val="nil"/>
              <w:left w:color="000000" w:space="0" w:sz="0" w:val="nil"/>
              <w:bottom w:color="000000" w:space="0" w:sz="0" w:val="nil"/>
            </w:tcBorders>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KYS Kapsamında Görev ve Sorumluluklar</w:t>
            </w:r>
          </w:p>
        </w:tc>
        <w:tc>
          <w:tcPr>
            <w:vMerge w:val="continue"/>
            <w:tcBorders>
              <w:top w:color="000000" w:space="0" w:sz="0" w:val="nil"/>
              <w:bottom w:color="000000" w:space="0" w:sz="0" w:val="nil"/>
              <w:right w:color="000000" w:space="0" w:sz="0" w:val="nil"/>
            </w:tcBorders>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1931" w:hRule="atLeast"/>
          <w:tblHeader w:val="0"/>
        </w:trPr>
        <w:tc>
          <w:tcPr>
            <w:vMerge w:val="continue"/>
            <w:tcBorders>
              <w:top w:color="000000" w:space="0" w:sz="0" w:val="nil"/>
              <w:left w:color="000000" w:space="0" w:sz="0" w:val="nil"/>
              <w:bottom w:color="000000" w:space="0" w:sz="0" w:val="nil"/>
            </w:tcBorders>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4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835"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Üniversitenin Misyonunu, Vizyonunu, Kalite Politikasını benimsemek, bu doğrultuda hareket etmek ve biriminde bu doğrultuda hareket edilmesini sağlamak,</w:t>
            </w:r>
          </w:p>
          <w:p w:rsidR="00000000" w:rsidDel="00000000" w:rsidP="00000000" w:rsidRDefault="00000000" w:rsidRPr="00000000" w14:paraId="0000004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835"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Birim kalite hedeflerini belirlemek ve ulaşılması için üzerine düşen çalışmaları yapmak,</w:t>
            </w:r>
          </w:p>
          <w:p w:rsidR="00000000" w:rsidDel="00000000" w:rsidP="00000000" w:rsidRDefault="00000000" w:rsidRPr="00000000" w14:paraId="0000004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835"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Faaliyetlerini yürütürken İstanbul Yeni Yüzyıl Üniversitesi KYS belgelerine uygun hareket edilmesini ve kayıtlara yönelik ilgili koordinasyonu sağlamak,</w:t>
            </w:r>
          </w:p>
          <w:p w:rsidR="00000000" w:rsidDel="00000000" w:rsidP="00000000" w:rsidRDefault="00000000" w:rsidRPr="00000000" w14:paraId="0000004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835"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KYS kapsamında biriminde yapılacak düzeltici ve önleyici faaliyetlerin yerine getirilmesine katkı sağlamak,</w:t>
            </w:r>
          </w:p>
          <w:p w:rsidR="00000000" w:rsidDel="00000000" w:rsidP="00000000" w:rsidRDefault="00000000" w:rsidRPr="00000000" w14:paraId="00000046">
            <w:pPr>
              <w:numPr>
                <w:ilvl w:val="0"/>
                <w:numId w:val="1"/>
              </w:numPr>
              <w:tabs>
                <w:tab w:val="left" w:leader="none" w:pos="834"/>
              </w:tabs>
              <w:spacing w:before="4" w:line="272" w:lineRule="auto"/>
              <w:ind w:left="835" w:hanging="360"/>
              <w:rPr/>
            </w:pPr>
            <w:r w:rsidDel="00000000" w:rsidR="00000000" w:rsidRPr="00000000">
              <w:rPr>
                <w:rtl w:val="0"/>
              </w:rPr>
              <w:t xml:space="preserve">Yaptığı işle ilgili iyileştirme önerilerini Kalite Koordinatörlüğü ile paylaşmak,</w:t>
            </w:r>
          </w:p>
          <w:p w:rsidR="00000000" w:rsidDel="00000000" w:rsidP="00000000" w:rsidRDefault="00000000" w:rsidRPr="00000000" w14:paraId="0000004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835"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KYS çalışmaları kapsamında yapılan faaliyetlere birimi adına katkı sağlamak.</w:t>
            </w:r>
          </w:p>
        </w:tc>
        <w:tc>
          <w:tcPr>
            <w:vMerge w:val="continue"/>
            <w:tcBorders>
              <w:top w:color="000000" w:space="0" w:sz="0" w:val="nil"/>
              <w:bottom w:color="000000" w:space="0" w:sz="0" w:val="nil"/>
              <w:right w:color="000000" w:space="0" w:sz="0" w:val="nil"/>
            </w:tcBorders>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3"/>
        <w:tblW w:w="9784.0" w:type="dxa"/>
        <w:jc w:val="left"/>
        <w:tblInd w:w="2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84"/>
        <w:tblGridChange w:id="0">
          <w:tblGrid>
            <w:gridCol w:w="9784"/>
          </w:tblGrid>
        </w:tblGridChange>
      </w:tblGrid>
      <w:tr>
        <w:trPr>
          <w:cantSplit w:val="0"/>
          <w:trHeight w:val="268" w:hRule="atLeast"/>
          <w:tblHeader w:val="0"/>
        </w:trPr>
        <w:tc>
          <w:tcPr/>
          <w:p w:rsidR="00000000" w:rsidDel="00000000" w:rsidP="00000000" w:rsidRDefault="00000000" w:rsidRPr="00000000" w14:paraId="0000004F">
            <w:pPr>
              <w:spacing w:line="248.00000000000006" w:lineRule="auto"/>
              <w:ind w:left="115" w:firstLine="0"/>
              <w:rPr>
                <w:b w:val="1"/>
                <w:bCs w:val="1"/>
              </w:rPr>
            </w:pPr>
            <w:r w:rsidDel="00000000" w:rsidR="00000000" w:rsidRPr="00000000">
              <w:rPr>
                <w:b w:val="1"/>
                <w:bCs w:val="1"/>
                <w:rtl w:val="0"/>
              </w:rPr>
              <w:t xml:space="preserve">Yetkiler</w:t>
            </w:r>
          </w:p>
        </w:tc>
      </w:tr>
      <w:tr>
        <w:trPr>
          <w:cantSplit w:val="0"/>
          <w:trHeight w:val="1392" w:hRule="atLeast"/>
          <w:tblHeader w:val="0"/>
        </w:trPr>
        <w:tc>
          <w:tcPr/>
          <w:p w:rsidR="00000000" w:rsidDel="00000000" w:rsidP="00000000" w:rsidRDefault="00000000" w:rsidRPr="00000000" w14:paraId="00000050">
            <w:pPr>
              <w:numPr>
                <w:ilvl w:val="0"/>
                <w:numId w:val="5"/>
              </w:numPr>
              <w:tabs>
                <w:tab w:val="left" w:leader="none" w:pos="834"/>
              </w:tabs>
              <w:spacing w:before="2" w:line="280" w:lineRule="auto"/>
              <w:ind w:left="834" w:hanging="360"/>
              <w:rPr/>
            </w:pPr>
            <w:r w:rsidDel="00000000" w:rsidR="00000000" w:rsidRPr="00000000">
              <w:rPr>
                <w:rtl w:val="0"/>
              </w:rPr>
              <w:t xml:space="preserve">Konusu ile ilgili resmi yazıları paraf etmek,</w:t>
            </w:r>
          </w:p>
          <w:p w:rsidR="00000000" w:rsidDel="00000000" w:rsidP="00000000" w:rsidRDefault="00000000" w:rsidRPr="00000000" w14:paraId="00000051">
            <w:pPr>
              <w:numPr>
                <w:ilvl w:val="0"/>
                <w:numId w:val="5"/>
              </w:numPr>
              <w:tabs>
                <w:tab w:val="left" w:leader="none" w:pos="834"/>
              </w:tabs>
              <w:spacing w:line="280" w:lineRule="auto"/>
              <w:ind w:left="834" w:hanging="360"/>
              <w:rPr/>
            </w:pPr>
            <w:r w:rsidDel="00000000" w:rsidR="00000000" w:rsidRPr="00000000">
              <w:rPr>
                <w:rtl w:val="0"/>
              </w:rPr>
              <w:t xml:space="preserve">Birim ile ilgili resmi yazıları teslim almak ve tutanakları imzalamak,</w:t>
            </w:r>
          </w:p>
          <w:p w:rsidR="00000000" w:rsidDel="00000000" w:rsidP="00000000" w:rsidRDefault="00000000" w:rsidRPr="00000000" w14:paraId="00000052">
            <w:pPr>
              <w:numPr>
                <w:ilvl w:val="0"/>
                <w:numId w:val="5"/>
              </w:numPr>
              <w:tabs>
                <w:tab w:val="left" w:leader="none" w:pos="834"/>
              </w:tabs>
              <w:spacing w:line="278.00000000000006" w:lineRule="auto"/>
              <w:ind w:left="834" w:hanging="360"/>
              <w:rPr/>
            </w:pPr>
            <w:r w:rsidDel="00000000" w:rsidR="00000000" w:rsidRPr="00000000">
              <w:rPr>
                <w:rtl w:val="0"/>
              </w:rPr>
              <w:t xml:space="preserve">Bilgi, belge ve raporları hazırlamak üzere akademik ve idari birimlerden bilgi ve veri talep etmek,</w:t>
            </w:r>
          </w:p>
          <w:p w:rsidR="00000000" w:rsidDel="00000000" w:rsidP="00000000" w:rsidRDefault="00000000" w:rsidRPr="00000000" w14:paraId="00000053">
            <w:pPr>
              <w:numPr>
                <w:ilvl w:val="0"/>
                <w:numId w:val="5"/>
              </w:numPr>
              <w:tabs>
                <w:tab w:val="left" w:leader="none" w:pos="834"/>
              </w:tabs>
              <w:spacing w:line="274" w:lineRule="auto"/>
              <w:ind w:left="834" w:right="251" w:hanging="360"/>
              <w:jc w:val="both"/>
              <w:rPr/>
            </w:pPr>
            <w:r w:rsidDel="00000000" w:rsidR="00000000" w:rsidRPr="00000000">
              <w:rPr>
                <w:rtl w:val="0"/>
              </w:rPr>
              <w:t xml:space="preserve">İnceleme ve değerlendirme yetkilerini gerektiğinde Bölüm Başkanının koordinasyonu ile Bölümün diğer öğretim üyeleri/elemanlarından destek alarak kullanabilir.</w:t>
            </w:r>
          </w:p>
        </w:tc>
      </w:tr>
    </w:tbl>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73"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sectPr>
      <w:pgSz w:h="16850" w:w="11920" w:orient="portrait"/>
      <w:pgMar w:bottom="280" w:top="660" w:left="1275" w:right="283"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83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7" w:hanging="360"/>
      </w:pPr>
      <w:rPr/>
    </w:lvl>
    <w:lvl w:ilvl="3">
      <w:start w:val="0"/>
      <w:numFmt w:val="bullet"/>
      <w:lvlText w:val="•"/>
      <w:lvlJc w:val="left"/>
      <w:pPr>
        <w:ind w:left="3520" w:hanging="360"/>
      </w:pPr>
      <w:rPr/>
    </w:lvl>
    <w:lvl w:ilvl="4">
      <w:start w:val="0"/>
      <w:numFmt w:val="bullet"/>
      <w:lvlText w:val="•"/>
      <w:lvlJc w:val="left"/>
      <w:pPr>
        <w:ind w:left="4414" w:hanging="360"/>
      </w:pPr>
      <w:rPr/>
    </w:lvl>
    <w:lvl w:ilvl="5">
      <w:start w:val="0"/>
      <w:numFmt w:val="bullet"/>
      <w:lvlText w:val="•"/>
      <w:lvlJc w:val="left"/>
      <w:pPr>
        <w:ind w:left="5307" w:hanging="360"/>
      </w:pPr>
      <w:rPr/>
    </w:lvl>
    <w:lvl w:ilvl="6">
      <w:start w:val="0"/>
      <w:numFmt w:val="bullet"/>
      <w:lvlText w:val="•"/>
      <w:lvlJc w:val="left"/>
      <w:pPr>
        <w:ind w:left="6201" w:hanging="360"/>
      </w:pPr>
      <w:rPr/>
    </w:lvl>
    <w:lvl w:ilvl="7">
      <w:start w:val="0"/>
      <w:numFmt w:val="bullet"/>
      <w:lvlText w:val="•"/>
      <w:lvlJc w:val="left"/>
      <w:pPr>
        <w:ind w:left="7094" w:hanging="360"/>
      </w:pPr>
      <w:rPr/>
    </w:lvl>
    <w:lvl w:ilvl="8">
      <w:start w:val="0"/>
      <w:numFmt w:val="bullet"/>
      <w:lvlText w:val="•"/>
      <w:lvlJc w:val="left"/>
      <w:pPr>
        <w:ind w:left="7988" w:hanging="360"/>
      </w:pPr>
      <w:rPr/>
    </w:lvl>
  </w:abstractNum>
  <w:abstractNum w:abstractNumId="2">
    <w:lvl w:ilvl="0">
      <w:start w:val="0"/>
      <w:numFmt w:val="bullet"/>
      <w:lvlText w:val="●"/>
      <w:lvlJc w:val="left"/>
      <w:pPr>
        <w:ind w:left="83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7" w:hanging="360"/>
      </w:pPr>
      <w:rPr/>
    </w:lvl>
    <w:lvl w:ilvl="3">
      <w:start w:val="0"/>
      <w:numFmt w:val="bullet"/>
      <w:lvlText w:val="•"/>
      <w:lvlJc w:val="left"/>
      <w:pPr>
        <w:ind w:left="3520" w:hanging="360"/>
      </w:pPr>
      <w:rPr/>
    </w:lvl>
    <w:lvl w:ilvl="4">
      <w:start w:val="0"/>
      <w:numFmt w:val="bullet"/>
      <w:lvlText w:val="•"/>
      <w:lvlJc w:val="left"/>
      <w:pPr>
        <w:ind w:left="4414" w:hanging="360"/>
      </w:pPr>
      <w:rPr/>
    </w:lvl>
    <w:lvl w:ilvl="5">
      <w:start w:val="0"/>
      <w:numFmt w:val="bullet"/>
      <w:lvlText w:val="•"/>
      <w:lvlJc w:val="left"/>
      <w:pPr>
        <w:ind w:left="5307" w:hanging="360"/>
      </w:pPr>
      <w:rPr/>
    </w:lvl>
    <w:lvl w:ilvl="6">
      <w:start w:val="0"/>
      <w:numFmt w:val="bullet"/>
      <w:lvlText w:val="•"/>
      <w:lvlJc w:val="left"/>
      <w:pPr>
        <w:ind w:left="6201" w:hanging="360"/>
      </w:pPr>
      <w:rPr/>
    </w:lvl>
    <w:lvl w:ilvl="7">
      <w:start w:val="0"/>
      <w:numFmt w:val="bullet"/>
      <w:lvlText w:val="•"/>
      <w:lvlJc w:val="left"/>
      <w:pPr>
        <w:ind w:left="7094" w:hanging="360"/>
      </w:pPr>
      <w:rPr/>
    </w:lvl>
    <w:lvl w:ilvl="8">
      <w:start w:val="0"/>
      <w:numFmt w:val="bullet"/>
      <w:lvlText w:val="•"/>
      <w:lvlJc w:val="left"/>
      <w:pPr>
        <w:ind w:left="7988" w:hanging="360"/>
      </w:pPr>
      <w:rPr/>
    </w:lvl>
  </w:abstractNum>
  <w:abstractNum w:abstractNumId="3">
    <w:lvl w:ilvl="0">
      <w:start w:val="0"/>
      <w:numFmt w:val="bullet"/>
      <w:lvlText w:val="●"/>
      <w:lvlJc w:val="left"/>
      <w:pPr>
        <w:ind w:left="83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7" w:hanging="360"/>
      </w:pPr>
      <w:rPr/>
    </w:lvl>
    <w:lvl w:ilvl="3">
      <w:start w:val="0"/>
      <w:numFmt w:val="bullet"/>
      <w:lvlText w:val="•"/>
      <w:lvlJc w:val="left"/>
      <w:pPr>
        <w:ind w:left="3520" w:hanging="360"/>
      </w:pPr>
      <w:rPr/>
    </w:lvl>
    <w:lvl w:ilvl="4">
      <w:start w:val="0"/>
      <w:numFmt w:val="bullet"/>
      <w:lvlText w:val="•"/>
      <w:lvlJc w:val="left"/>
      <w:pPr>
        <w:ind w:left="4414" w:hanging="360"/>
      </w:pPr>
      <w:rPr/>
    </w:lvl>
    <w:lvl w:ilvl="5">
      <w:start w:val="0"/>
      <w:numFmt w:val="bullet"/>
      <w:lvlText w:val="•"/>
      <w:lvlJc w:val="left"/>
      <w:pPr>
        <w:ind w:left="5307" w:hanging="360"/>
      </w:pPr>
      <w:rPr/>
    </w:lvl>
    <w:lvl w:ilvl="6">
      <w:start w:val="0"/>
      <w:numFmt w:val="bullet"/>
      <w:lvlText w:val="•"/>
      <w:lvlJc w:val="left"/>
      <w:pPr>
        <w:ind w:left="6201" w:hanging="360"/>
      </w:pPr>
      <w:rPr/>
    </w:lvl>
    <w:lvl w:ilvl="7">
      <w:start w:val="0"/>
      <w:numFmt w:val="bullet"/>
      <w:lvlText w:val="•"/>
      <w:lvlJc w:val="left"/>
      <w:pPr>
        <w:ind w:left="7094" w:hanging="360"/>
      </w:pPr>
      <w:rPr/>
    </w:lvl>
    <w:lvl w:ilvl="8">
      <w:start w:val="0"/>
      <w:numFmt w:val="bullet"/>
      <w:lvlText w:val="•"/>
      <w:lvlJc w:val="left"/>
      <w:pPr>
        <w:ind w:left="7988" w:hanging="360"/>
      </w:pPr>
      <w:rPr/>
    </w:lvl>
  </w:abstractNum>
  <w:abstractNum w:abstractNumId="4">
    <w:lvl w:ilvl="0">
      <w:start w:val="0"/>
      <w:numFmt w:val="bullet"/>
      <w:lvlText w:val="●"/>
      <w:lvlJc w:val="left"/>
      <w:pPr>
        <w:ind w:left="83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7" w:hanging="360"/>
      </w:pPr>
      <w:rPr/>
    </w:lvl>
    <w:lvl w:ilvl="3">
      <w:start w:val="0"/>
      <w:numFmt w:val="bullet"/>
      <w:lvlText w:val="•"/>
      <w:lvlJc w:val="left"/>
      <w:pPr>
        <w:ind w:left="3520" w:hanging="360"/>
      </w:pPr>
      <w:rPr/>
    </w:lvl>
    <w:lvl w:ilvl="4">
      <w:start w:val="0"/>
      <w:numFmt w:val="bullet"/>
      <w:lvlText w:val="•"/>
      <w:lvlJc w:val="left"/>
      <w:pPr>
        <w:ind w:left="4414" w:hanging="360"/>
      </w:pPr>
      <w:rPr/>
    </w:lvl>
    <w:lvl w:ilvl="5">
      <w:start w:val="0"/>
      <w:numFmt w:val="bullet"/>
      <w:lvlText w:val="•"/>
      <w:lvlJc w:val="left"/>
      <w:pPr>
        <w:ind w:left="5307" w:hanging="360"/>
      </w:pPr>
      <w:rPr/>
    </w:lvl>
    <w:lvl w:ilvl="6">
      <w:start w:val="0"/>
      <w:numFmt w:val="bullet"/>
      <w:lvlText w:val="•"/>
      <w:lvlJc w:val="left"/>
      <w:pPr>
        <w:ind w:left="6201" w:hanging="360"/>
      </w:pPr>
      <w:rPr/>
    </w:lvl>
    <w:lvl w:ilvl="7">
      <w:start w:val="0"/>
      <w:numFmt w:val="bullet"/>
      <w:lvlText w:val="•"/>
      <w:lvlJc w:val="left"/>
      <w:pPr>
        <w:ind w:left="7094" w:hanging="360"/>
      </w:pPr>
      <w:rPr/>
    </w:lvl>
    <w:lvl w:ilvl="8">
      <w:start w:val="0"/>
      <w:numFmt w:val="bullet"/>
      <w:lvlText w:val="•"/>
      <w:lvlJc w:val="left"/>
      <w:pPr>
        <w:ind w:left="7988" w:hanging="360"/>
      </w:pPr>
      <w:rPr/>
    </w:lvl>
  </w:abstractNum>
  <w:abstractNum w:abstractNumId="5">
    <w:lvl w:ilvl="0">
      <w:start w:val="0"/>
      <w:numFmt w:val="bullet"/>
      <w:lvlText w:val="●"/>
      <w:lvlJc w:val="left"/>
      <w:pPr>
        <w:ind w:left="834" w:hanging="359.99999999999994"/>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20" w:hanging="360"/>
      </w:pPr>
      <w:rPr/>
    </w:lvl>
    <w:lvl w:ilvl="4">
      <w:start w:val="0"/>
      <w:numFmt w:val="bullet"/>
      <w:lvlText w:val="•"/>
      <w:lvlJc w:val="left"/>
      <w:pPr>
        <w:ind w:left="4413" w:hanging="360"/>
      </w:pPr>
      <w:rPr/>
    </w:lvl>
    <w:lvl w:ilvl="5">
      <w:start w:val="0"/>
      <w:numFmt w:val="bullet"/>
      <w:lvlText w:val="•"/>
      <w:lvlJc w:val="left"/>
      <w:pPr>
        <w:ind w:left="5307" w:hanging="360"/>
      </w:pPr>
      <w:rPr/>
    </w:lvl>
    <w:lvl w:ilvl="6">
      <w:start w:val="0"/>
      <w:numFmt w:val="bullet"/>
      <w:lvlText w:val="•"/>
      <w:lvlJc w:val="left"/>
      <w:pPr>
        <w:ind w:left="6200" w:hanging="360"/>
      </w:pPr>
      <w:rPr/>
    </w:lvl>
    <w:lvl w:ilvl="7">
      <w:start w:val="0"/>
      <w:numFmt w:val="bullet"/>
      <w:lvlText w:val="•"/>
      <w:lvlJc w:val="left"/>
      <w:pPr>
        <w:ind w:left="7093" w:hanging="360"/>
      </w:pPr>
      <w:rPr/>
    </w:lvl>
    <w:lvl w:ilvl="8">
      <w:start w:val="0"/>
      <w:numFmt w:val="bullet"/>
      <w:lvlText w:val="•"/>
      <w:lvlJc w:val="left"/>
      <w:pPr>
        <w:ind w:left="7987" w:hanging="36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8YTFFQdh6r8Zj6lzGvMwOl/X2g==">CgMxLjA4AHIhMWdpSFVyckdBYnVtSVNLWFpmM2xfOWtfOThkM0hwRFo3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2025-04-30T00:00:00Z</vt:lpwstr>
  </property>
  <property fmtid="{D5CDD505-2E9C-101B-9397-08002B2CF9AE}" pid="3" name="Creator">
    <vt:lpwstr>Microsoft® Word 2019</vt:lpwstr>
  </property>
  <property fmtid="{D5CDD505-2E9C-101B-9397-08002B2CF9AE}" pid="4" name="LastSaved">
    <vt:lpwstr>2026-04-14T00:00:00Z</vt:lpwstr>
  </property>
  <property fmtid="{D5CDD505-2E9C-101B-9397-08002B2CF9AE}" pid="5" name="Producer">
    <vt:lpwstr>Microsoft® Word 2019</vt:lpwstr>
  </property>
</Properties>
</file>